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89c0ae39896c979548a017f9a2702fd61b9acb0"/>
    <w:p>
      <w:pPr>
        <w:pStyle w:val="Heading2"/>
      </w:pPr>
      <w:r>
        <w:t xml:space="preserve">Requerimento de Encerramento da Instrução</w:t>
      </w:r>
    </w:p>
    <w:p>
      <w:pPr>
        <w:pStyle w:val="FirstParagraph"/>
      </w:pPr>
      <w:r>
        <w:rPr>
          <w:b/>
          <w:bCs/>
        </w:rPr>
        <w:t xml:space="preserve">Processo n.º 1234/2026 – Alteração da Regulação das Responsabilidades Parentais – Menor de 8 anos</w:t>
      </w:r>
    </w:p>
    <w:p>
      <w:pPr>
        <w:pStyle w:val="BodyText"/>
      </w:pPr>
      <w:r>
        <w:rPr>
          <w:b/>
          <w:bCs/>
        </w:rPr>
        <w:t xml:space="preserve">Autor / Requerente:</w:t>
      </w:r>
      <w:r>
        <w:t xml:space="preserve"> </w:t>
      </w:r>
      <w:r>
        <w:t xml:space="preserve">Maria da Conceição Silva, NIF 224 567 891, residente em Rua da Palma, 45‑3.º Esq., 1150‑225 Lisboa.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t xml:space="preserve"> </w:t>
      </w:r>
      <w:r>
        <w:t xml:space="preserve">José António Pereira, NIF 117 342 556, residente em Avenida da República, 210, 4.º Dto., 4000‑274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 Ana Sofia Martins, OAB/Lisboa 12345, NIF 213 456 789, escritório em Av. das Nações Unidas, 12, 1050‑190 Lisboa.</w:t>
      </w:r>
      <w:r>
        <w:br/>
      </w:r>
      <w:r>
        <w:t xml:space="preserve">- Dr. Luís Fernando Carvalho, OAB/Porto 67890, NIF 345 678 912, escritório em Rua do Infante, 78, 4.º Esq., 4000‑231 Porto.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da Vara da Família e dos Menores da Comarca de Lisboa.</w:t>
      </w:r>
    </w:p>
    <w:p>
      <w:pPr>
        <w:pStyle w:val="BodyText"/>
      </w:pPr>
      <w:r>
        <w:t xml:space="preserve">Lisboa, 15 de março de 2026</w:t>
      </w:r>
    </w:p>
    <w:p>
      <w:r>
        <w:pict>
          <v:rect style="width:0;height:1.5pt" o:hralign="center" o:hrstd="t" o:hr="t"/>
        </w:pict>
      </w:r>
    </w:p>
    <w:bookmarkStart w:id="14" w:name="X62c5b0150095909ab804a5dfa86e0fbdbecb8c2"/>
    <w:p>
      <w:pPr>
        <w:pStyle w:val="Heading3"/>
      </w:pPr>
      <w:r>
        <w:t xml:space="preserve">Ex.mo Sr. Juiz de Direito da Vara da Família e dos Menores da Comarca de Lisboa,</w:t>
      </w:r>
    </w:p>
    <w:p>
      <w:pPr>
        <w:pStyle w:val="FirstParagraph"/>
      </w:pPr>
      <w:r>
        <w:rPr>
          <w:b/>
          <w:bCs/>
        </w:rPr>
        <w:t xml:space="preserve">Vem, respeitosamente, à presença de V. Exa.,</w:t>
      </w:r>
      <w:r>
        <w:t xml:space="preserve"> </w:t>
      </w:r>
      <w:r>
        <w:t xml:space="preserve">os mandatários da autora, Dr. Ana Sofia Martins e Dr. Luís Fernando Carvalho, nos termos do artigo 562.º, n.º 1, do Código de Processo Civil, requerer o</w:t>
      </w:r>
      <w:r>
        <w:t xml:space="preserve"> </w:t>
      </w:r>
      <w:r>
        <w:rPr>
          <w:b/>
          <w:bCs/>
        </w:rPr>
        <w:t xml:space="preserve">ENCERRAMENTO DA INSTRUÇÃO</w:t>
      </w:r>
      <w:r>
        <w:t xml:space="preserve"> </w:t>
      </w:r>
      <w:r>
        <w:t xml:space="preserve">e a passagem à fase de</w:t>
      </w:r>
      <w:r>
        <w:t xml:space="preserve"> </w:t>
      </w:r>
      <w:r>
        <w:rPr>
          <w:b/>
          <w:bCs/>
        </w:rPr>
        <w:t xml:space="preserve">DECISÃO DE MÉRITO</w:t>
      </w:r>
      <w:r>
        <w:t xml:space="preserve">, pelos fundamentos que se seguem.</w:t>
      </w:r>
    </w:p>
    <w:p>
      <w:r>
        <w:pict>
          <v:rect style="width:0;height:1.5pt" o:hralign="center" o:hrstd="t" o:hr="t"/>
        </w:pict>
      </w:r>
    </w:p>
    <w:bookmarkStart w:id="9" w:name="síntese-da-fase-de-instrução"/>
    <w:p>
      <w:pPr>
        <w:pStyle w:val="Heading4"/>
      </w:pPr>
      <w:r>
        <w:t xml:space="preserve">1. Síntese da fase de instrução</w:t>
      </w:r>
    </w:p>
    <w:p>
      <w:pPr>
        <w:pStyle w:val="FirstParagraph"/>
      </w:pPr>
      <w:r>
        <w:t xml:space="preserve">1.1.</w:t>
      </w:r>
      <w:r>
        <w:t xml:space="preserve"> </w:t>
      </w:r>
      <w:r>
        <w:rPr>
          <w:b/>
          <w:bCs/>
        </w:rPr>
        <w:t xml:space="preserve">Produção de Provas Documentais</w:t>
      </w:r>
      <w:r>
        <w:t xml:space="preserve"> </w:t>
      </w:r>
      <w:r>
        <w:t xml:space="preserve">– Foram juntados ao processo os seguintes documentos, todos devidamente numerados e rubricados, conforme consta na tabela abaixo: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04"/>
        <w:gridCol w:w="4224"/>
        <w:gridCol w:w="299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Documento</w:t>
            </w:r>
          </w:p>
        </w:tc>
        <w:tc>
          <w:tcPr/>
          <w:p>
            <w:pPr>
              <w:pStyle w:val="Compact"/>
            </w:pPr>
            <w:r>
              <w:t xml:space="preserve">Data de Juntada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Certidão de Nascimento da menor Ana Sofia Pereira</w:t>
            </w:r>
          </w:p>
        </w:tc>
        <w:tc>
          <w:tcPr/>
          <w:p>
            <w:pPr>
              <w:pStyle w:val="Compact"/>
            </w:pPr>
            <w:r>
              <w:t xml:space="preserve">02/02/2026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Declaração de mudança de residência do réu (Porto → Coimbra)</w:t>
            </w:r>
          </w:p>
        </w:tc>
        <w:tc>
          <w:tcPr/>
          <w:p>
            <w:pPr>
              <w:pStyle w:val="Compact"/>
            </w:pPr>
            <w:r>
              <w:t xml:space="preserve">05/02/2026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Relatório de acompanhamento psicossocial da menor, elaborado pelo Serviço de Proteção de Crianças e Jovens (SPCJ)</w:t>
            </w:r>
          </w:p>
        </w:tc>
        <w:tc>
          <w:tcPr/>
          <w:p>
            <w:pPr>
              <w:pStyle w:val="Compact"/>
            </w:pPr>
            <w:r>
              <w:t xml:space="preserve">10/02/2026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Prova de incumprimento do regime de visitas (e‑mail, 12/01/2026)</w:t>
            </w:r>
          </w:p>
        </w:tc>
        <w:tc>
          <w:tcPr/>
          <w:p>
            <w:pPr>
              <w:pStyle w:val="Compact"/>
            </w:pPr>
            <w:r>
              <w:t xml:space="preserve">12/02/2026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Parecer pericial do psicólogo Dr. Mário Ribeiro, nº 2026/07</w:t>
            </w:r>
          </w:p>
        </w:tc>
        <w:tc>
          <w:tcPr/>
          <w:p>
            <w:pPr>
              <w:pStyle w:val="Compact"/>
            </w:pPr>
            <w:r>
              <w:t xml:space="preserve">14/02/2026</w:t>
            </w:r>
          </w:p>
        </w:tc>
      </w:tr>
    </w:tbl>
    <w:p>
      <w:pPr>
        <w:pStyle w:val="BodyText"/>
      </w:pPr>
      <w:r>
        <w:t xml:space="preserve">1.2.</w:t>
      </w:r>
      <w:r>
        <w:t xml:space="preserve"> </w:t>
      </w:r>
      <w:r>
        <w:rPr>
          <w:b/>
          <w:bCs/>
        </w:rPr>
        <w:t xml:space="preserve">Audiências de Instrução</w:t>
      </w:r>
      <w:r>
        <w:t xml:space="preserve"> </w:t>
      </w:r>
      <w:r>
        <w:t xml:space="preserve">– Realizada a única audiência de instrução, em 20 de fevereiro de 2026, na qual foram ouvidas as partes, o perito psicólogo e o assistente social designado. Não foram suscitados pedidos de produção de prova adicional.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Depoimentos</w:t>
      </w:r>
      <w:r>
        <w:t xml:space="preserve"> </w:t>
      </w:r>
      <w:r>
        <w:t xml:space="preserve">– Os depoimentos colhidos confirmam a mudança unilateral de residência do réu, a falta de cumprimento do regime de visitas e a existência de instabilidade emocional na menor, conforme atestado no relatório pericial (item 5 da tabela).</w:t>
      </w:r>
    </w:p>
    <w:p>
      <w:r>
        <w:pict>
          <v:rect style="width:0;height:1.5pt" o:hralign="center" o:hrstd="t" o:hr="t"/>
        </w:pict>
      </w:r>
    </w:p>
    <w:bookmarkEnd w:id="9"/>
    <w:bookmarkStart w:id="10" w:name="X34e6ee1e1f48242d2a192964feb268b7a805251"/>
    <w:p>
      <w:pPr>
        <w:pStyle w:val="Heading4"/>
      </w:pPr>
      <w:r>
        <w:t xml:space="preserve">2. Conclusão de que não subsistem diligências adicionais</w:t>
      </w:r>
    </w:p>
    <w:p>
      <w:pPr>
        <w:pStyle w:val="FirstParagraph"/>
      </w:pPr>
      <w:r>
        <w:t xml:space="preserve">2.1.</w:t>
      </w:r>
      <w:r>
        <w:t xml:space="preserve"> </w:t>
      </w:r>
      <w:r>
        <w:rPr>
          <w:b/>
          <w:bCs/>
        </w:rPr>
        <w:t xml:space="preserve">Exaurimento das Provas</w:t>
      </w:r>
      <w:r>
        <w:t xml:space="preserve"> </w:t>
      </w:r>
      <w:r>
        <w:t xml:space="preserve">– Todas as provas previstas no art.º 562.º, n.º 2, CPC foram produzidas e devidamente analisadas. O perito concluiu que a guarda unilateral da mãe, com visitas supervisionadas ao pai, é a medida que melhor protege o interesse superior da menor.</w:t>
      </w:r>
    </w:p>
    <w:p>
      <w:pPr>
        <w:pStyle w:val="BodyText"/>
      </w:pPr>
      <w:r>
        <w:t xml:space="preserve">2.2.</w:t>
      </w:r>
      <w:r>
        <w:t xml:space="preserve"> </w:t>
      </w:r>
      <w:r>
        <w:rPr>
          <w:b/>
          <w:bCs/>
        </w:rPr>
        <w:t xml:space="preserve">Inexistência de Incidente de Impugnação</w:t>
      </w:r>
      <w:r>
        <w:t xml:space="preserve"> </w:t>
      </w:r>
      <w:r>
        <w:t xml:space="preserve">– Não foram interpostos recursos ou incidentes de impugnação de atos processuais que justifiquem a manutenção da fase de instrução.</w:t>
      </w:r>
    </w:p>
    <w:p>
      <w:pPr>
        <w:pStyle w:val="BodyText"/>
      </w:pPr>
      <w:r>
        <w:t xml:space="preserve">2.3.</w:t>
      </w:r>
      <w:r>
        <w:t xml:space="preserve"> </w:t>
      </w:r>
      <w:r>
        <w:rPr>
          <w:b/>
          <w:bCs/>
        </w:rPr>
        <w:t xml:space="preserve">Princípio da Celeridade</w:t>
      </w:r>
      <w:r>
        <w:t xml:space="preserve"> </w:t>
      </w:r>
      <w:r>
        <w:t xml:space="preserve">– Nos termos do art.º 20.º, n.º 2, da Constituição da República Portuguesa, e do art.º 564.º, n.º 1, do CPC, a continuação da instrução acarretaria prejuízo desnecessário à menor, que já se encontra em situação de vulnerabilidade.</w:t>
      </w:r>
    </w:p>
    <w:p>
      <w:r>
        <w:pict>
          <v:rect style="width:0;height:1.5pt" o:hralign="center" o:hrstd="t" o:hr="t"/>
        </w:pict>
      </w:r>
    </w:p>
    <w:bookmarkEnd w:id="10"/>
    <w:bookmarkStart w:id="11" w:name="pedido"/>
    <w:p>
      <w:pPr>
        <w:pStyle w:val="Heading4"/>
      </w:pPr>
      <w:r>
        <w:t xml:space="preserve">3. Pedido</w:t>
      </w:r>
    </w:p>
    <w:p>
      <w:pPr>
        <w:pStyle w:val="FirstParagraph"/>
      </w:pPr>
      <w:r>
        <w:rPr>
          <w:b/>
          <w:bCs/>
        </w:rPr>
        <w:t xml:space="preserve">Nestes termos, requer:</w:t>
      </w:r>
    </w:p>
    <w:p>
      <w:pPr>
        <w:numPr>
          <w:ilvl w:val="0"/>
          <w:numId w:val="1002"/>
        </w:numPr>
      </w:pPr>
      <w:r>
        <w:t xml:space="preserve">Que seja declarado o</w:t>
      </w:r>
      <w:r>
        <w:t xml:space="preserve"> </w:t>
      </w:r>
      <w:r>
        <w:rPr>
          <w:b/>
          <w:bCs/>
        </w:rPr>
        <w:t xml:space="preserve">ENCERRAMENTO DA INSTRUÇÃO</w:t>
      </w:r>
      <w:r>
        <w:t xml:space="preserve"> </w:t>
      </w:r>
      <w:r>
        <w:t xml:space="preserve">no presente processo;</w:t>
      </w:r>
    </w:p>
    <w:p>
      <w:pPr>
        <w:numPr>
          <w:ilvl w:val="0"/>
          <w:numId w:val="1002"/>
        </w:numPr>
      </w:pPr>
      <w:r>
        <w:t xml:space="preserve">Que, ultrapassada a fase de instrução, seja imediatamente</w:t>
      </w:r>
      <w:r>
        <w:t xml:space="preserve"> </w:t>
      </w:r>
      <w:r>
        <w:rPr>
          <w:b/>
          <w:bCs/>
        </w:rPr>
        <w:t xml:space="preserve">aberta a fase de decisão de mérito</w:t>
      </w:r>
      <w:r>
        <w:t xml:space="preserve">, para que V. Exa. profira sentença que fixe a nova regulação das responsabilidades parentais, nos termos do melhor interesse da menor Ana Sofia Pereira;</w:t>
      </w:r>
    </w:p>
    <w:p>
      <w:pPr>
        <w:numPr>
          <w:ilvl w:val="0"/>
          <w:numId w:val="1002"/>
        </w:numPr>
      </w:pPr>
      <w:r>
        <w:t xml:space="preserve">Caso V. Exa. entenda necessária alguma diligência suplementar, que a mesma seja limitada ao estrito necessário para a formação da convicção, nos termos do art.º 565.º do CPC.</w:t>
      </w:r>
    </w:p>
    <w:p>
      <w:r>
        <w:pict>
          <v:rect style="width:0;height:1.5pt" o:hralign="center" o:hrstd="t" o:hr="t"/>
        </w:pict>
      </w:r>
    </w:p>
    <w:bookmarkEnd w:id="11"/>
    <w:bookmarkStart w:id="12" w:name="protesta-por-prova"/>
    <w:p>
      <w:pPr>
        <w:pStyle w:val="Heading4"/>
      </w:pPr>
      <w:r>
        <w:t xml:space="preserve">4. Protesta por Prova</w:t>
      </w:r>
    </w:p>
    <w:p>
      <w:pPr>
        <w:pStyle w:val="FirstParagraph"/>
      </w:pPr>
      <w:r>
        <w:t xml:space="preserve">Caso V. Exa. entenda que seja imprescindível a produção de prova adicional, os mandatários requerem a designação de nova audiência de instrução, nos termos do art.º 564.º, n.º 2, do CPC, bem como a oitiva de eventual testemunha a indicar pela parte requerente.</w:t>
      </w:r>
    </w:p>
    <w:p>
      <w:r>
        <w:pict>
          <v:rect style="width:0;height:1.5pt" o:hralign="center" o:hrstd="t" o:hr="t"/>
        </w:pict>
      </w:r>
    </w:p>
    <w:bookmarkEnd w:id="12"/>
    <w:bookmarkStart w:id="13" w:name="termos-em-que"/>
    <w:p>
      <w:pPr>
        <w:pStyle w:val="Heading4"/>
      </w:pPr>
      <w:r>
        <w:t xml:space="preserve">5. Termos em que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5" w:name="assinaturas"/>
    <w:p>
      <w:pPr>
        <w:pStyle w:val="Heading3"/>
      </w:pPr>
      <w:r>
        <w:t xml:space="preserve">Assinaturas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795"/>
        <w:gridCol w:w="2795"/>
        <w:gridCol w:w="1164"/>
        <w:gridCol w:w="116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Mandatário</w:t>
            </w:r>
          </w:p>
        </w:tc>
        <w:tc>
          <w:tcPr/>
          <w:p>
            <w:pPr>
              <w:pStyle w:val="Compact"/>
            </w:pPr>
            <w:r>
              <w:t xml:space="preserve">Assinatura</w:t>
            </w:r>
          </w:p>
        </w:tc>
        <w:tc>
          <w:tcPr/>
          <w:p>
            <w:pPr>
              <w:pStyle w:val="Compact"/>
            </w:pPr>
            <w:r>
              <w:t xml:space="preserve">OAB</w:t>
            </w:r>
          </w:p>
        </w:tc>
        <w:tc>
          <w:tcPr/>
          <w:p>
            <w:pPr>
              <w:pStyle w:val="Compact"/>
            </w:pPr>
            <w:r>
              <w:t xml:space="preserve">NIF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Ana Sofia Martins</w:t>
            </w:r>
          </w:p>
        </w:tc>
        <w:tc>
          <w:tcPr/>
          <w:p>
            <w:pPr>
              <w:pStyle w:val="Compact"/>
            </w:pPr>
            <w:r>
              <w:t xml:space="preserve">_________________________</w:t>
            </w:r>
          </w:p>
        </w:tc>
        <w:tc>
          <w:tcPr/>
          <w:p>
            <w:pPr>
              <w:pStyle w:val="Compact"/>
            </w:pPr>
            <w:r>
              <w:t xml:space="preserve">12345</w:t>
            </w:r>
          </w:p>
        </w:tc>
        <w:tc>
          <w:tcPr/>
          <w:p>
            <w:pPr>
              <w:pStyle w:val="Compact"/>
            </w:pPr>
            <w:r>
              <w:t xml:space="preserve">213 456 789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Luís Fernando Carvalho</w:t>
            </w:r>
          </w:p>
        </w:tc>
        <w:tc>
          <w:tcPr/>
          <w:p>
            <w:pPr>
              <w:pStyle w:val="Compact"/>
            </w:pPr>
            <w:r>
              <w:t xml:space="preserve">_________________________</w:t>
            </w:r>
          </w:p>
        </w:tc>
        <w:tc>
          <w:tcPr/>
          <w:p>
            <w:pPr>
              <w:pStyle w:val="Compact"/>
            </w:pPr>
            <w:r>
              <w:t xml:space="preserve">67890</w:t>
            </w:r>
          </w:p>
        </w:tc>
        <w:tc>
          <w:tcPr/>
          <w:p>
            <w:pPr>
              <w:pStyle w:val="Compact"/>
            </w:pPr>
            <w:r>
              <w:t xml:space="preserve">345 678 912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Documento elaborado eletronicamente e assinado digitalmente pelos mandatários.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